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A6BE" w14:textId="77777777" w:rsidR="00634934" w:rsidRDefault="004E1E33">
      <w:pPr>
        <w:pStyle w:val="Standard"/>
        <w:spacing w:before="120" w:after="120"/>
        <w:ind w:right="-23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Prefeitura de Mauá - Edital de Chamamento Público nº 01/2024</w:t>
      </w:r>
    </w:p>
    <w:p w14:paraId="509EC653" w14:textId="77777777" w:rsidR="00634934" w:rsidRDefault="004E1E33">
      <w:pPr>
        <w:pStyle w:val="Standard"/>
        <w:spacing w:before="120" w:after="120"/>
        <w:ind w:right="-23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III - DECLARAÇÃO DA NÃO OCORRÊNCIA DE IMPEDIMENTOS</w:t>
      </w:r>
    </w:p>
    <w:p w14:paraId="762B4F5E" w14:textId="77777777" w:rsidR="00634934" w:rsidRDefault="00634934">
      <w:pPr>
        <w:pStyle w:val="Standard"/>
        <w:tabs>
          <w:tab w:val="left" w:pos="567"/>
        </w:tabs>
        <w:spacing w:before="120" w:after="120"/>
        <w:ind w:right="-232" w:firstLine="567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690B498" w14:textId="77777777" w:rsidR="00634934" w:rsidRDefault="004E1E33">
      <w:pPr>
        <w:pStyle w:val="Standard"/>
        <w:tabs>
          <w:tab w:val="left" w:pos="567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</w:rPr>
        <w:t xml:space="preserve">Declaro para os devidos fins, que a </w:t>
      </w:r>
      <w:r>
        <w:rPr>
          <w:rFonts w:ascii="Arial" w:eastAsia="Arial" w:hAnsi="Arial" w:cs="Arial"/>
          <w:color w:val="0072E4"/>
        </w:rPr>
        <w:t>(</w:t>
      </w:r>
      <w:r>
        <w:rPr>
          <w:rFonts w:ascii="Arial" w:eastAsia="Arial" w:hAnsi="Arial" w:cs="Arial"/>
          <w:i/>
          <w:color w:val="0072E4"/>
        </w:rPr>
        <w:t xml:space="preserve">identificação da Organização da Sociedade Civil – OSC) </w:t>
      </w:r>
      <w:r>
        <w:rPr>
          <w:rFonts w:ascii="Arial" w:eastAsia="Arial" w:hAnsi="Arial" w:cs="Arial"/>
          <w:color w:val="000000"/>
        </w:rPr>
        <w:t xml:space="preserve">e seus dirigentes não </w:t>
      </w:r>
      <w:r>
        <w:rPr>
          <w:rFonts w:ascii="Arial" w:eastAsia="Arial" w:hAnsi="Arial" w:cs="Arial"/>
          <w:color w:val="000000"/>
        </w:rPr>
        <w:t>incorrem em quaisquer das vedações previstas nos artigos 39, 40 e 41 da Lei 13.019, de 31 de julho de 2014, atualizado pela Lei 13.204, de 2015; nesse sentido, a citada entidade:</w:t>
      </w:r>
    </w:p>
    <w:p w14:paraId="286D1758" w14:textId="77777777" w:rsidR="00634934" w:rsidRDefault="004E1E33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Está regularmente constituída ou, se estrangeira, está autorizada a funcionar no território nacional;</w:t>
      </w:r>
    </w:p>
    <w:p w14:paraId="7C2542A3" w14:textId="77777777" w:rsidR="00634934" w:rsidRDefault="004E1E33">
      <w:pPr>
        <w:pStyle w:val="Standard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rPr>
          <w:rFonts w:ascii="Arial" w:eastAsia="Arial" w:hAnsi="Arial" w:cs="Arial"/>
          <w:color w:val="000000"/>
        </w:rPr>
        <w:t>Não foi omissa no dever de prestar contas de parceria anteriormente celebrada;</w:t>
      </w:r>
    </w:p>
    <w:p w14:paraId="3C7A65D8" w14:textId="77777777" w:rsidR="00634934" w:rsidRDefault="004E1E33">
      <w:pPr>
        <w:pStyle w:val="Standard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rPr>
          <w:rFonts w:ascii="Arial" w:eastAsia="Arial" w:hAnsi="Arial" w:cs="Arial"/>
          <w:color w:val="000000"/>
        </w:rPr>
        <w:t xml:space="preserve">Não teve as contas rejeitadas pela administração pública nos últimos cinco anos, observadas as exceções previstas no art. 39, </w:t>
      </w:r>
      <w:r>
        <w:rPr>
          <w:rFonts w:ascii="Arial" w:eastAsia="Arial" w:hAnsi="Arial" w:cs="Arial"/>
          <w:i/>
          <w:color w:val="000000"/>
        </w:rPr>
        <w:t>caput</w:t>
      </w:r>
      <w:r>
        <w:rPr>
          <w:rFonts w:ascii="Arial" w:eastAsia="Arial" w:hAnsi="Arial" w:cs="Arial"/>
          <w:color w:val="000000"/>
        </w:rPr>
        <w:t xml:space="preserve">, inciso IV, </w:t>
      </w:r>
      <w:r>
        <w:rPr>
          <w:rFonts w:ascii="Arial" w:eastAsia="Arial" w:hAnsi="Arial" w:cs="Arial"/>
          <w:color w:val="000000"/>
        </w:rPr>
        <w:t>alíneas “a” a “c”, da Lei n. 13.019, de 2014 (com alterações dadas pela lei 13.2014, de 2015);</w:t>
      </w:r>
    </w:p>
    <w:p w14:paraId="3EA1E869" w14:textId="77777777" w:rsidR="00634934" w:rsidRDefault="004E1E33">
      <w:pPr>
        <w:pStyle w:val="Standard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se encontra submetida às situações de:</w:t>
      </w:r>
    </w:p>
    <w:p w14:paraId="645DCEEC" w14:textId="77777777" w:rsidR="00634934" w:rsidRDefault="004E1E33">
      <w:pPr>
        <w:pStyle w:val="Standard"/>
        <w:numPr>
          <w:ilvl w:val="1"/>
          <w:numId w:val="2"/>
        </w:numPr>
        <w:tabs>
          <w:tab w:val="left" w:pos="-1340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sanções de suspensão de participação em licitação e impedimento de contratar com a administração;</w:t>
      </w:r>
    </w:p>
    <w:p w14:paraId="7DD81836" w14:textId="77777777" w:rsidR="00634934" w:rsidRDefault="004E1E33">
      <w:pPr>
        <w:pStyle w:val="Standard"/>
        <w:numPr>
          <w:ilvl w:val="1"/>
          <w:numId w:val="2"/>
        </w:numPr>
        <w:tabs>
          <w:tab w:val="left" w:pos="-1340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inidoneidade para licitar ou contratar com a administração pública;</w:t>
      </w:r>
    </w:p>
    <w:p w14:paraId="6625BFB5" w14:textId="77777777" w:rsidR="00634934" w:rsidRDefault="004E1E33">
      <w:pPr>
        <w:pStyle w:val="Standard"/>
        <w:numPr>
          <w:ilvl w:val="1"/>
          <w:numId w:val="2"/>
        </w:numPr>
        <w:tabs>
          <w:tab w:val="left" w:pos="-1340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suspensão temporária de participação em chamamento público e impedimento de celebrar parceria ou contrato com órgãos e entidades da esfera de governo da administração pública sancionadora;</w:t>
      </w:r>
    </w:p>
    <w:p w14:paraId="513878C4" w14:textId="77777777" w:rsidR="00634934" w:rsidRDefault="004E1E33">
      <w:pPr>
        <w:pStyle w:val="Standard"/>
        <w:numPr>
          <w:ilvl w:val="1"/>
          <w:numId w:val="2"/>
        </w:numPr>
        <w:tabs>
          <w:tab w:val="left" w:pos="-1340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inidoneidade para participar de chamamento público ou celebrar parceria ou contrato com órgãos e entidades de todas as esferas de governo.</w:t>
      </w:r>
    </w:p>
    <w:p w14:paraId="7E7DD443" w14:textId="77777777" w:rsidR="00634934" w:rsidRDefault="004E1E33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teve contas de parceria julgadas irregulares ou rejeitadas por Tribunal ou Conselho de Contas de qualquer esfera da Federação, em decisão irrecorrível, nos últimos 8 (oito) anos; e</w:t>
      </w:r>
    </w:p>
    <w:p w14:paraId="3C44FF1C" w14:textId="77777777" w:rsidR="00634934" w:rsidRDefault="004E1E33">
      <w:pPr>
        <w:pStyle w:val="Standard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tem entre seus dirigentes, pessoas cujas contas relativas a parcerias tenham sido julgadas irregulares ou rejeitadas por Tribunal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n. 8.4</w:t>
      </w:r>
      <w:r>
        <w:rPr>
          <w:rFonts w:ascii="Arial" w:eastAsia="Arial" w:hAnsi="Arial" w:cs="Arial"/>
          <w:color w:val="000000"/>
        </w:rPr>
        <w:t>29, de 2 de junho de 1992.</w:t>
      </w:r>
    </w:p>
    <w:p w14:paraId="3DFB96E2" w14:textId="77777777" w:rsidR="00634934" w:rsidRDefault="004E1E33">
      <w:pPr>
        <w:pStyle w:val="Standard"/>
        <w:tabs>
          <w:tab w:val="left" w:pos="2970"/>
        </w:tabs>
        <w:jc w:val="center"/>
      </w:pPr>
      <w:r>
        <w:rPr>
          <w:rFonts w:ascii="Arial" w:hAnsi="Arial" w:cs="Arial"/>
          <w:b/>
          <w:bCs/>
          <w:color w:val="000000"/>
        </w:rPr>
        <w:lastRenderedPageBreak/>
        <w:t>TERMO DE FOMENTO – Chamamento Público nº 01/2024</w:t>
      </w:r>
    </w:p>
    <w:p w14:paraId="77D84167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bCs/>
          <w:color w:val="000000"/>
        </w:rPr>
      </w:pPr>
    </w:p>
    <w:p w14:paraId="3E51FC70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bCs/>
          <w:color w:val="000000"/>
        </w:rPr>
      </w:pPr>
    </w:p>
    <w:p w14:paraId="6A4E1D71" w14:textId="77777777" w:rsidR="00634934" w:rsidRDefault="00634934">
      <w:pPr>
        <w:pStyle w:val="Standard"/>
        <w:tabs>
          <w:tab w:val="left" w:pos="2970"/>
        </w:tabs>
        <w:jc w:val="center"/>
      </w:pPr>
    </w:p>
    <w:p w14:paraId="51CC6033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bCs/>
          <w:color w:val="000000"/>
        </w:rPr>
      </w:pPr>
    </w:p>
    <w:p w14:paraId="289370CD" w14:textId="77777777" w:rsidR="00634934" w:rsidRDefault="004E1E33">
      <w:pPr>
        <w:pStyle w:val="Standard"/>
        <w:tabs>
          <w:tab w:val="left" w:pos="297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ORGANIZAÇÃO DA SOCIEDADE CIVIL:</w:t>
      </w:r>
    </w:p>
    <w:p w14:paraId="3B5B2E02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bCs/>
          <w:color w:val="000000"/>
        </w:rPr>
      </w:pPr>
    </w:p>
    <w:p w14:paraId="3400CBC8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bCs/>
          <w:color w:val="000000"/>
        </w:rPr>
      </w:pPr>
    </w:p>
    <w:p w14:paraId="1D969552" w14:textId="77777777" w:rsidR="00634934" w:rsidRDefault="004E1E33">
      <w:pPr>
        <w:pStyle w:val="Standard"/>
        <w:tabs>
          <w:tab w:val="left" w:pos="297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</w:t>
      </w:r>
    </w:p>
    <w:p w14:paraId="34EB2037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bCs/>
          <w:color w:val="000000"/>
        </w:rPr>
      </w:pPr>
    </w:p>
    <w:p w14:paraId="3B3FA503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bCs/>
          <w:color w:val="000000"/>
        </w:rPr>
      </w:pPr>
    </w:p>
    <w:p w14:paraId="13AA456D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bCs/>
          <w:color w:val="000000"/>
        </w:rPr>
      </w:pPr>
    </w:p>
    <w:p w14:paraId="06361834" w14:textId="77777777" w:rsidR="00634934" w:rsidRDefault="004E1E33">
      <w:pPr>
        <w:pStyle w:val="Standard"/>
        <w:tabs>
          <w:tab w:val="left" w:pos="297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RESPONSÁVEL LEGAL (nome completo):</w:t>
      </w:r>
    </w:p>
    <w:p w14:paraId="644B3FCE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bCs/>
          <w:color w:val="000000"/>
        </w:rPr>
      </w:pPr>
    </w:p>
    <w:p w14:paraId="35DBB587" w14:textId="77777777" w:rsidR="00634934" w:rsidRDefault="00634934">
      <w:pPr>
        <w:pStyle w:val="Standard"/>
        <w:tabs>
          <w:tab w:val="left" w:pos="2970"/>
        </w:tabs>
        <w:rPr>
          <w:rFonts w:ascii="Arial" w:hAnsi="Arial" w:cs="Arial"/>
          <w:b/>
          <w:bCs/>
          <w:color w:val="000000"/>
        </w:rPr>
      </w:pPr>
    </w:p>
    <w:p w14:paraId="48CFC0E7" w14:textId="77777777" w:rsidR="00634934" w:rsidRDefault="004E1E33">
      <w:pPr>
        <w:pStyle w:val="Standard"/>
        <w:tabs>
          <w:tab w:val="left" w:pos="297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</w:t>
      </w:r>
    </w:p>
    <w:p w14:paraId="652834FC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bCs/>
          <w:color w:val="000000"/>
        </w:rPr>
      </w:pPr>
    </w:p>
    <w:p w14:paraId="528583EF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6723403D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4E644AE3" w14:textId="77777777" w:rsidR="00634934" w:rsidRDefault="004E1E33">
      <w:pPr>
        <w:pStyle w:val="Standard"/>
        <w:tabs>
          <w:tab w:val="left" w:pos="297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CPF: ________________________________________</w:t>
      </w:r>
    </w:p>
    <w:p w14:paraId="7899C16D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3D9E6012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7FD8548C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2930800A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44ACB8CE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313A8104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2C74498D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04366A90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36A2BC9A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1C2A32D2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19EC51B9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1A07D8DC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3A1741AB" w14:textId="77777777" w:rsidR="00634934" w:rsidRDefault="004E1E33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Mauá/SP, ____ de </w:t>
      </w:r>
      <w:r>
        <w:rPr>
          <w:rFonts w:ascii="Arial" w:hAnsi="Arial" w:cs="Arial"/>
          <w:b/>
          <w:color w:val="000000"/>
        </w:rPr>
        <w:t>______________ de 2024.</w:t>
      </w:r>
    </w:p>
    <w:p w14:paraId="293F1D7B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755AC1C9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35C92E83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020A200D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597C38A3" w14:textId="77777777" w:rsidR="00634934" w:rsidRDefault="00634934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</w:p>
    <w:p w14:paraId="0D959B9D" w14:textId="77777777" w:rsidR="00634934" w:rsidRDefault="004E1E33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_____________________________________</w:t>
      </w:r>
    </w:p>
    <w:p w14:paraId="3F7F8AB6" w14:textId="77777777" w:rsidR="00634934" w:rsidRDefault="004E1E33">
      <w:pPr>
        <w:pStyle w:val="Standard"/>
        <w:tabs>
          <w:tab w:val="left" w:pos="2970"/>
        </w:tabs>
        <w:jc w:val="center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>Assinatura do Responsável Legal da OSC</w:t>
      </w:r>
    </w:p>
    <w:p w14:paraId="1AF93632" w14:textId="77777777" w:rsidR="00634934" w:rsidRDefault="004E1E33">
      <w:pPr>
        <w:pStyle w:val="Standard"/>
        <w:tabs>
          <w:tab w:val="left" w:pos="2970"/>
        </w:tabs>
        <w:spacing w:before="120" w:after="120"/>
        <w:jc w:val="center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(conforme art. 2º, IV, da Lei 13.019, de 31 de julho de 2014)</w:t>
      </w:r>
    </w:p>
    <w:p w14:paraId="65A0D9FA" w14:textId="77777777" w:rsidR="00634934" w:rsidRDefault="00634934">
      <w:pPr>
        <w:pStyle w:val="Standard"/>
        <w:tabs>
          <w:tab w:val="left" w:pos="993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sectPr w:rsidR="00634934">
      <w:headerReference w:type="default" r:id="rId7"/>
      <w:pgSz w:w="11906" w:h="16838"/>
      <w:pgMar w:top="2551" w:right="850" w:bottom="720" w:left="141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F85D" w14:textId="77777777" w:rsidR="004E1E33" w:rsidRDefault="004E1E33">
      <w:r>
        <w:separator/>
      </w:r>
    </w:p>
  </w:endnote>
  <w:endnote w:type="continuationSeparator" w:id="0">
    <w:p w14:paraId="42B94967" w14:textId="77777777" w:rsidR="004E1E33" w:rsidRDefault="004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BD8C" w14:textId="77777777" w:rsidR="004E1E33" w:rsidRDefault="004E1E33">
      <w:r>
        <w:rPr>
          <w:color w:val="000000"/>
        </w:rPr>
        <w:separator/>
      </w:r>
    </w:p>
  </w:footnote>
  <w:footnote w:type="continuationSeparator" w:id="0">
    <w:p w14:paraId="055CE8AA" w14:textId="77777777" w:rsidR="004E1E33" w:rsidRDefault="004E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C42" w14:textId="77777777" w:rsidR="004E1E33" w:rsidRDefault="004E1E33">
    <w:pPr>
      <w:pStyle w:val="Cabealho"/>
      <w:tabs>
        <w:tab w:val="left" w:pos="6810"/>
      </w:tabs>
      <w:jc w:val="center"/>
      <w:rPr>
        <w:rFonts w:ascii="Arial" w:hAnsi="Arial" w:cs="Arial"/>
        <w:b/>
        <w:bCs/>
        <w:color w:val="4472C4"/>
        <w:sz w:val="24"/>
        <w:szCs w:val="24"/>
      </w:rPr>
    </w:pPr>
    <w:r>
      <w:rPr>
        <w:rFonts w:ascii="Arial" w:hAnsi="Arial" w:cs="Arial"/>
        <w:b/>
        <w:bCs/>
        <w:color w:val="4472C4"/>
        <w:sz w:val="24"/>
        <w:szCs w:val="24"/>
      </w:rPr>
      <w:t>INSERIR TIMBRE DA OSC</w:t>
    </w:r>
  </w:p>
  <w:p w14:paraId="6FBF71AE" w14:textId="77777777" w:rsidR="004E1E33" w:rsidRDefault="004E1E33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Instruções:</w:t>
    </w:r>
  </w:p>
  <w:p w14:paraId="1E791B05" w14:textId="77777777" w:rsidR="004E1E33" w:rsidRDefault="004E1E33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Os textos em azul são explicativos e devem ser substituídos/apagados.</w:t>
    </w:r>
  </w:p>
  <w:p w14:paraId="270E5D91" w14:textId="77777777" w:rsidR="004E1E33" w:rsidRDefault="004E1E33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Deve-se inserir linhas onde as existentes não forem suficientes para inserir as informações.</w:t>
    </w:r>
  </w:p>
  <w:p w14:paraId="6D2859D7" w14:textId="77777777" w:rsidR="004E1E33" w:rsidRDefault="004E1E33">
    <w:pPr>
      <w:pStyle w:val="Cabealho"/>
      <w:tabs>
        <w:tab w:val="left" w:pos="6810"/>
      </w:tabs>
      <w:jc w:val="center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C7A"/>
    <w:multiLevelType w:val="multilevel"/>
    <w:tmpl w:val="EE061FF2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294B69B2"/>
    <w:multiLevelType w:val="multilevel"/>
    <w:tmpl w:val="3E48BA86"/>
    <w:styleLink w:val="WW8Num41"/>
    <w:lvl w:ilvl="0"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A756041"/>
    <w:multiLevelType w:val="multilevel"/>
    <w:tmpl w:val="B570143E"/>
    <w:styleLink w:val="WW8Num23"/>
    <w:lvl w:ilvl="0">
      <w:start w:val="1"/>
      <w:numFmt w:val="lowerLetter"/>
      <w:lvlText w:val="%1."/>
      <w:lvlJc w:val="left"/>
      <w:pPr>
        <w:ind w:left="765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0FA789D"/>
    <w:multiLevelType w:val="multilevel"/>
    <w:tmpl w:val="CF080734"/>
    <w:styleLink w:val="WW8Num1"/>
    <w:lvl w:ilvl="0">
      <w:start w:val="1"/>
      <w:numFmt w:val="none"/>
      <w:suff w:val="nothing"/>
      <w:lvlText w:val="%1"/>
      <w:lvlJc w:val="left"/>
      <w:pPr>
        <w:ind w:left="1440" w:firstLine="0"/>
      </w:pPr>
    </w:lvl>
    <w:lvl w:ilvl="1">
      <w:start w:val="1"/>
      <w:numFmt w:val="none"/>
      <w:suff w:val="nothing"/>
      <w:lvlText w:val="%2"/>
      <w:lvlJc w:val="left"/>
      <w:pPr>
        <w:ind w:left="1440" w:firstLine="0"/>
      </w:pPr>
    </w:lvl>
    <w:lvl w:ilvl="2">
      <w:start w:val="1"/>
      <w:numFmt w:val="none"/>
      <w:suff w:val="nothing"/>
      <w:lvlText w:val="%3"/>
      <w:lvlJc w:val="left"/>
      <w:pPr>
        <w:ind w:left="1440" w:firstLine="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4D6B4DE5"/>
    <w:multiLevelType w:val="multilevel"/>
    <w:tmpl w:val="0D5CE31C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115C6"/>
    <w:multiLevelType w:val="multilevel"/>
    <w:tmpl w:val="DF1CB82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9440178">
    <w:abstractNumId w:val="1"/>
  </w:num>
  <w:num w:numId="2" w16cid:durableId="375393775">
    <w:abstractNumId w:val="4"/>
  </w:num>
  <w:num w:numId="3" w16cid:durableId="1657563913">
    <w:abstractNumId w:val="3"/>
  </w:num>
  <w:num w:numId="4" w16cid:durableId="437720563">
    <w:abstractNumId w:val="5"/>
  </w:num>
  <w:num w:numId="5" w16cid:durableId="1962031177">
    <w:abstractNumId w:val="2"/>
  </w:num>
  <w:num w:numId="6" w16cid:durableId="1762874367">
    <w:abstractNumId w:val="0"/>
  </w:num>
  <w:num w:numId="7" w16cid:durableId="1461612828">
    <w:abstractNumId w:val="1"/>
    <w:lvlOverride w:ilvl="0"/>
  </w:num>
  <w:num w:numId="8" w16cid:durableId="36124438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4934"/>
    <w:rsid w:val="004E1E33"/>
    <w:rsid w:val="006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F445"/>
  <w15:docId w15:val="{2B172CB7-474E-43BE-8E14-F4738274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Arial" w:eastAsia="Arial" w:hAnsi="Arial" w:cs="Arial"/>
      <w:b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Courier New" w:eastAsia="Courier New" w:hAnsi="Courier New" w:cs="Courier New"/>
      <w:b/>
      <w:i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Courier New" w:eastAsia="Courier New" w:hAnsi="Courier New" w:cs="Courier New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Pr>
      <w:bCs/>
      <w:sz w:val="56"/>
      <w:szCs w:val="56"/>
    </w:rPr>
  </w:style>
  <w:style w:type="paragraph" w:customStyle="1" w:styleId="Textbody">
    <w:name w:val="Text body"/>
    <w:basedOn w:val="Standard"/>
    <w:pPr>
      <w:jc w:val="center"/>
    </w:pPr>
    <w:rPr>
      <w:b/>
      <w:sz w:val="44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rpodetexto21">
    <w:name w:val="Corpo de texto 21"/>
    <w:basedOn w:val="Standard"/>
    <w:pPr>
      <w:jc w:val="both"/>
    </w:pPr>
    <w:rPr>
      <w:sz w:val="28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Standard"/>
    <w:pPr>
      <w:suppressAutoHyphens w:val="0"/>
      <w:spacing w:before="100" w:after="119"/>
    </w:pPr>
  </w:style>
  <w:style w:type="paragraph" w:customStyle="1" w:styleId="LO-Normal">
    <w:name w:val="LO-Normal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Arial" w:eastAsia="Arial" w:hAnsi="Arial" w:cs="OpenSymbol, 'Arial Unicode MS'"/>
      <w:b w:val="0"/>
      <w:bCs w:val="0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  <w:i w:val="0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1">
    <w:name w:val="Fonte parág. padrã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Ttulo3Char">
    <w:name w:val="Título 3 Char"/>
    <w:basedOn w:val="Fontepargpadro"/>
    <w:rPr>
      <w:rFonts w:ascii="Courier New" w:eastAsia="Courier New" w:hAnsi="Courier New" w:cs="Courier New"/>
      <w:b/>
      <w:i/>
      <w:sz w:val="28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41">
    <w:name w:val="WW8Num41"/>
    <w:basedOn w:val="Semlista"/>
    <w:pPr>
      <w:numPr>
        <w:numId w:val="1"/>
      </w:numPr>
    </w:pPr>
  </w:style>
  <w:style w:type="numbering" w:customStyle="1" w:styleId="WW8Num25">
    <w:name w:val="WW8Num25"/>
    <w:basedOn w:val="Semlista"/>
    <w:pPr>
      <w:numPr>
        <w:numId w:val="2"/>
      </w:numPr>
    </w:pPr>
  </w:style>
  <w:style w:type="numbering" w:customStyle="1" w:styleId="WW8Num1">
    <w:name w:val="WW8Num1"/>
    <w:basedOn w:val="Semlista"/>
    <w:pPr>
      <w:numPr>
        <w:numId w:val="3"/>
      </w:numPr>
    </w:pPr>
  </w:style>
  <w:style w:type="numbering" w:customStyle="1" w:styleId="WW8Num12">
    <w:name w:val="WW8Num12"/>
    <w:basedOn w:val="Semlista"/>
    <w:pPr>
      <w:numPr>
        <w:numId w:val="4"/>
      </w:numPr>
    </w:pPr>
  </w:style>
  <w:style w:type="numbering" w:customStyle="1" w:styleId="WW8Num23">
    <w:name w:val="WW8Num23"/>
    <w:basedOn w:val="Semlista"/>
    <w:pPr>
      <w:numPr>
        <w:numId w:val="5"/>
      </w:numPr>
    </w:pPr>
  </w:style>
  <w:style w:type="numbering" w:customStyle="1" w:styleId="WW8Num3">
    <w:name w:val="WW8Num3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Mauá, 25 de setembro de 2012</dc:title>
  <dc:creator>DDTI</dc:creator>
  <cp:lastModifiedBy>Paulo Breda</cp:lastModifiedBy>
  <cp:revision>2</cp:revision>
  <cp:lastPrinted>2019-02-15T14:46:00Z</cp:lastPrinted>
  <dcterms:created xsi:type="dcterms:W3CDTF">2024-01-25T14:58:00Z</dcterms:created>
  <dcterms:modified xsi:type="dcterms:W3CDTF">2024-01-25T14:58:00Z</dcterms:modified>
</cp:coreProperties>
</file>